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0B503" w14:textId="77777777" w:rsidR="009D4132" w:rsidRDefault="00AD1846">
      <w:pPr>
        <w:pStyle w:val="Title"/>
      </w:pPr>
      <w:r>
        <w:rPr>
          <w:color w:val="00437B"/>
        </w:rPr>
        <w:t>Accounting</w:t>
      </w:r>
      <w:r>
        <w:rPr>
          <w:color w:val="00437B"/>
          <w:spacing w:val="-3"/>
        </w:rPr>
        <w:t xml:space="preserve"> </w:t>
      </w:r>
      <w:r>
        <w:rPr>
          <w:color w:val="00437B"/>
          <w:spacing w:val="-2"/>
        </w:rPr>
        <w:t>Manager/Bookkeeper</w:t>
      </w:r>
    </w:p>
    <w:p w14:paraId="4CBD25C1" w14:textId="77777777" w:rsidR="009D4132" w:rsidRDefault="00AD1846">
      <w:pPr>
        <w:pStyle w:val="BodyText"/>
        <w:spacing w:before="3"/>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73281F11" wp14:editId="653CD2D3">
                <wp:simplePos x="0" y="0"/>
                <wp:positionH relativeFrom="page">
                  <wp:posOffset>599440</wp:posOffset>
                </wp:positionH>
                <wp:positionV relativeFrom="paragraph">
                  <wp:posOffset>124841</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7D5EA450" id="Graphic 1" o:spid="_x0000_s1026" style="position:absolute;margin-left:47.2pt;margin-top:9.8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" path="m6601459,l,e" filled="f" strokecolor="#e82c2a" strokeweight="1pt">
                <v:path arrowok="t"/>
                <w10:wrap type="topAndBottom" anchorx="page"/>
              </v:shape>
            </w:pict>
          </mc:Fallback>
        </mc:AlternateContent>
      </w:r>
    </w:p>
    <w:p w14:paraId="0F5E4C03" w14:textId="77777777" w:rsidR="009D4132" w:rsidRDefault="00AD1846">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F96BBF9" w14:textId="2C44C595" w:rsidR="009D4132" w:rsidRDefault="00AD1846">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9720D3">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44B611BA" w14:textId="77777777" w:rsidR="009D4132" w:rsidRDefault="00AD1846">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970C809" wp14:editId="26B6E3E1">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0075BE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7D2F759" w14:textId="77777777" w:rsidR="009D4132" w:rsidRDefault="009D4132">
      <w:pPr>
        <w:pStyle w:val="BodyText"/>
        <w:spacing w:before="12"/>
        <w:rPr>
          <w:rFonts w:ascii="Arial Black"/>
          <w:sz w:val="18"/>
        </w:rPr>
      </w:pPr>
    </w:p>
    <w:p w14:paraId="1367BE97" w14:textId="77777777" w:rsidR="009D4132" w:rsidRDefault="009D4132">
      <w:pPr>
        <w:pStyle w:val="BodyText"/>
        <w:rPr>
          <w:rFonts w:ascii="Arial Black"/>
          <w:sz w:val="18"/>
        </w:rPr>
        <w:sectPr w:rsidR="009D4132">
          <w:type w:val="continuous"/>
          <w:pgSz w:w="12240" w:h="15840"/>
          <w:pgMar w:top="600" w:right="360" w:bottom="280" w:left="720" w:header="720" w:footer="720" w:gutter="0"/>
          <w:cols w:space="720"/>
        </w:sectPr>
      </w:pPr>
    </w:p>
    <w:p w14:paraId="0E07759C" w14:textId="77777777" w:rsidR="009D4132" w:rsidRDefault="00AD1846">
      <w:pPr>
        <w:pStyle w:val="Heading1"/>
      </w:pPr>
      <w:r>
        <w:rPr>
          <w:color w:val="00437B"/>
        </w:rPr>
        <w:t>JOB</w:t>
      </w:r>
      <w:r>
        <w:rPr>
          <w:color w:val="00437B"/>
          <w:spacing w:val="-1"/>
        </w:rPr>
        <w:t xml:space="preserve"> </w:t>
      </w:r>
      <w:r>
        <w:rPr>
          <w:color w:val="00437B"/>
          <w:spacing w:val="-2"/>
        </w:rPr>
        <w:t>DUTIES:</w:t>
      </w:r>
    </w:p>
    <w:p w14:paraId="4F37917A" w14:textId="77777777" w:rsidR="009D4132" w:rsidRDefault="00AD1846" w:rsidP="00AD1846">
      <w:pPr>
        <w:pStyle w:val="BodyText"/>
        <w:spacing w:before="166" w:line="271" w:lineRule="auto"/>
        <w:ind w:left="454" w:right="171"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Responsible</w:t>
      </w:r>
      <w:r>
        <w:rPr>
          <w:color w:val="231F20"/>
          <w:spacing w:val="-6"/>
        </w:rPr>
        <w:t xml:space="preserve"> </w:t>
      </w:r>
      <w:r>
        <w:rPr>
          <w:color w:val="231F20"/>
        </w:rPr>
        <w:t>for</w:t>
      </w:r>
      <w:r>
        <w:rPr>
          <w:color w:val="231F20"/>
          <w:spacing w:val="-6"/>
        </w:rPr>
        <w:t xml:space="preserve"> </w:t>
      </w:r>
      <w:r>
        <w:rPr>
          <w:color w:val="231F20"/>
        </w:rPr>
        <w:t>leading</w:t>
      </w:r>
      <w:r>
        <w:rPr>
          <w:color w:val="231F20"/>
          <w:spacing w:val="-6"/>
        </w:rPr>
        <w:t xml:space="preserve"> </w:t>
      </w:r>
      <w:r>
        <w:rPr>
          <w:color w:val="231F20"/>
        </w:rPr>
        <w:t>and</w:t>
      </w:r>
      <w:r>
        <w:rPr>
          <w:color w:val="231F20"/>
          <w:spacing w:val="-6"/>
        </w:rPr>
        <w:t xml:space="preserve"> </w:t>
      </w:r>
      <w:r>
        <w:rPr>
          <w:color w:val="231F20"/>
        </w:rPr>
        <w:t>performing</w:t>
      </w:r>
      <w:r>
        <w:rPr>
          <w:color w:val="231F20"/>
          <w:spacing w:val="-6"/>
        </w:rPr>
        <w:t xml:space="preserve"> </w:t>
      </w:r>
      <w:r>
        <w:rPr>
          <w:color w:val="231F20"/>
        </w:rPr>
        <w:t>the</w:t>
      </w:r>
      <w:r>
        <w:rPr>
          <w:color w:val="231F20"/>
          <w:spacing w:val="-6"/>
        </w:rPr>
        <w:t xml:space="preserve"> </w:t>
      </w:r>
      <w:r>
        <w:rPr>
          <w:color w:val="231F20"/>
        </w:rPr>
        <w:t>day- to-day activities of multiple accounting functions</w:t>
      </w:r>
    </w:p>
    <w:p w14:paraId="21D4CAD1" w14:textId="77777777" w:rsidR="009D4132" w:rsidRDefault="00AD1846" w:rsidP="00AD1846">
      <w:pPr>
        <w:pStyle w:val="BodyText"/>
        <w:spacing w:before="134" w:line="271" w:lineRule="auto"/>
        <w:ind w:left="454" w:right="682"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Ensure</w:t>
      </w:r>
      <w:r>
        <w:rPr>
          <w:color w:val="231F20"/>
          <w:spacing w:val="-7"/>
        </w:rPr>
        <w:t xml:space="preserve"> </w:t>
      </w:r>
      <w:r>
        <w:rPr>
          <w:color w:val="231F20"/>
        </w:rPr>
        <w:t>accounting</w:t>
      </w:r>
      <w:r>
        <w:rPr>
          <w:color w:val="231F20"/>
          <w:spacing w:val="-7"/>
        </w:rPr>
        <w:t xml:space="preserve"> </w:t>
      </w:r>
      <w:r>
        <w:rPr>
          <w:color w:val="231F20"/>
        </w:rPr>
        <w:t>and</w:t>
      </w:r>
      <w:r>
        <w:rPr>
          <w:color w:val="231F20"/>
          <w:spacing w:val="-7"/>
        </w:rPr>
        <w:t xml:space="preserve"> </w:t>
      </w:r>
      <w:r>
        <w:rPr>
          <w:color w:val="231F20"/>
        </w:rPr>
        <w:t>finance</w:t>
      </w:r>
      <w:r>
        <w:rPr>
          <w:color w:val="231F20"/>
          <w:spacing w:val="-7"/>
        </w:rPr>
        <w:t xml:space="preserve"> </w:t>
      </w:r>
      <w:r>
        <w:rPr>
          <w:color w:val="231F20"/>
        </w:rPr>
        <w:t>issues</w:t>
      </w:r>
      <w:r>
        <w:rPr>
          <w:color w:val="231F20"/>
          <w:spacing w:val="-7"/>
        </w:rPr>
        <w:t xml:space="preserve"> </w:t>
      </w:r>
      <w:r>
        <w:rPr>
          <w:color w:val="231F20"/>
        </w:rPr>
        <w:t xml:space="preserve">and processes are appropriately identified and </w:t>
      </w:r>
      <w:r>
        <w:rPr>
          <w:color w:val="231F20"/>
          <w:spacing w:val="-2"/>
        </w:rPr>
        <w:t>documented</w:t>
      </w:r>
    </w:p>
    <w:p w14:paraId="7B757110" w14:textId="77777777" w:rsidR="009D4132" w:rsidRDefault="00AD1846">
      <w:pPr>
        <w:pStyle w:val="BodyText"/>
        <w:spacing w:before="135" w:line="271" w:lineRule="auto"/>
        <w:ind w:left="443" w:right="148" w:hanging="228"/>
        <w:jc w:val="both"/>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w:t>
      </w:r>
      <w:r>
        <w:rPr>
          <w:color w:val="231F20"/>
          <w:spacing w:val="-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development</w:t>
      </w:r>
      <w:r>
        <w:rPr>
          <w:color w:val="231F20"/>
          <w:spacing w:val="-4"/>
        </w:rPr>
        <w:t xml:space="preserve"> </w:t>
      </w:r>
      <w:r>
        <w:rPr>
          <w:color w:val="231F20"/>
        </w:rPr>
        <w:t>and</w:t>
      </w:r>
      <w:r>
        <w:rPr>
          <w:color w:val="231F20"/>
          <w:spacing w:val="-4"/>
        </w:rPr>
        <w:t xml:space="preserve"> </w:t>
      </w:r>
      <w:r>
        <w:rPr>
          <w:color w:val="231F20"/>
        </w:rPr>
        <w:t>maintenance</w:t>
      </w:r>
      <w:r>
        <w:rPr>
          <w:color w:val="231F20"/>
          <w:spacing w:val="-4"/>
        </w:rPr>
        <w:t xml:space="preserve"> </w:t>
      </w:r>
      <w:r>
        <w:rPr>
          <w:color w:val="231F20"/>
        </w:rPr>
        <w:t>of financial reporting systems to ensure integrity of finances</w:t>
      </w:r>
      <w:r>
        <w:rPr>
          <w:color w:val="231F20"/>
          <w:spacing w:val="-8"/>
        </w:rPr>
        <w:t xml:space="preserve"> </w:t>
      </w:r>
      <w:r>
        <w:rPr>
          <w:color w:val="231F20"/>
        </w:rPr>
        <w:t>based</w:t>
      </w:r>
      <w:r>
        <w:rPr>
          <w:color w:val="231F20"/>
          <w:spacing w:val="-8"/>
        </w:rPr>
        <w:t xml:space="preserve"> </w:t>
      </w:r>
      <w:r>
        <w:rPr>
          <w:color w:val="231F20"/>
        </w:rPr>
        <w:t>on</w:t>
      </w:r>
      <w:r>
        <w:rPr>
          <w:color w:val="231F20"/>
          <w:spacing w:val="-8"/>
        </w:rPr>
        <w:t xml:space="preserve"> </w:t>
      </w:r>
      <w:r>
        <w:rPr>
          <w:color w:val="231F20"/>
        </w:rPr>
        <w:t>sound</w:t>
      </w:r>
      <w:r>
        <w:rPr>
          <w:color w:val="231F20"/>
          <w:spacing w:val="-8"/>
        </w:rPr>
        <w:t xml:space="preserve"> </w:t>
      </w:r>
      <w:r>
        <w:rPr>
          <w:color w:val="231F20"/>
        </w:rPr>
        <w:t>accounting</w:t>
      </w:r>
      <w:r>
        <w:rPr>
          <w:color w:val="231F20"/>
          <w:spacing w:val="-8"/>
        </w:rPr>
        <w:t xml:space="preserve"> </w:t>
      </w:r>
      <w:r>
        <w:rPr>
          <w:color w:val="231F20"/>
        </w:rPr>
        <w:t>procedures and controls</w:t>
      </w:r>
    </w:p>
    <w:p w14:paraId="637F7B68" w14:textId="77777777" w:rsidR="009D4132" w:rsidRDefault="00AD1846">
      <w:pPr>
        <w:pStyle w:val="BodyText"/>
        <w:spacing w:before="134" w:line="271" w:lineRule="auto"/>
        <w:ind w:left="454" w:hanging="239"/>
      </w:pPr>
      <w:r>
        <w:rPr>
          <w:rFonts w:ascii="ITC Zapf Dingbats Std" w:hAnsi="ITC Zapf Dingbats Std"/>
          <w:color w:val="E82C2A"/>
        </w:rPr>
        <w:t xml:space="preserve">➤ </w:t>
      </w:r>
      <w:r>
        <w:rPr>
          <w:color w:val="231F20"/>
        </w:rPr>
        <w:t>Review all general ledger accounts monthly to make</w:t>
      </w:r>
      <w:r>
        <w:rPr>
          <w:color w:val="231F20"/>
          <w:spacing w:val="-6"/>
        </w:rPr>
        <w:t xml:space="preserve"> </w:t>
      </w:r>
      <w:r>
        <w:rPr>
          <w:color w:val="231F20"/>
        </w:rPr>
        <w:t>sure</w:t>
      </w:r>
      <w:r>
        <w:rPr>
          <w:color w:val="231F20"/>
          <w:spacing w:val="-6"/>
        </w:rPr>
        <w:t xml:space="preserve"> </w:t>
      </w:r>
      <w:r>
        <w:rPr>
          <w:color w:val="231F20"/>
        </w:rPr>
        <w:t>that</w:t>
      </w:r>
      <w:r>
        <w:rPr>
          <w:color w:val="231F20"/>
          <w:spacing w:val="-6"/>
        </w:rPr>
        <w:t xml:space="preserve"> </w:t>
      </w:r>
      <w:r>
        <w:rPr>
          <w:color w:val="231F20"/>
        </w:rPr>
        <w:t>all</w:t>
      </w:r>
      <w:r>
        <w:rPr>
          <w:color w:val="231F20"/>
          <w:spacing w:val="-6"/>
        </w:rPr>
        <w:t xml:space="preserve"> </w:t>
      </w:r>
      <w:r>
        <w:rPr>
          <w:color w:val="231F20"/>
        </w:rPr>
        <w:t>entries</w:t>
      </w:r>
      <w:r>
        <w:rPr>
          <w:color w:val="231F20"/>
          <w:spacing w:val="-6"/>
        </w:rPr>
        <w:t xml:space="preserve"> </w:t>
      </w:r>
      <w:r>
        <w:rPr>
          <w:color w:val="231F20"/>
        </w:rPr>
        <w:t>are</w:t>
      </w:r>
      <w:r>
        <w:rPr>
          <w:color w:val="231F20"/>
          <w:spacing w:val="-6"/>
        </w:rPr>
        <w:t xml:space="preserve"> </w:t>
      </w:r>
      <w:r>
        <w:rPr>
          <w:color w:val="231F20"/>
        </w:rPr>
        <w:t>recorded</w:t>
      </w:r>
      <w:r>
        <w:rPr>
          <w:color w:val="231F20"/>
          <w:spacing w:val="-6"/>
        </w:rPr>
        <w:t xml:space="preserve"> </w:t>
      </w:r>
      <w:r>
        <w:rPr>
          <w:color w:val="231F20"/>
        </w:rPr>
        <w:t>accurately and according to GAAP</w:t>
      </w:r>
    </w:p>
    <w:p w14:paraId="2CAE23B8" w14:textId="77777777" w:rsidR="009D4132" w:rsidRDefault="00AD1846">
      <w:pPr>
        <w:pStyle w:val="BodyText"/>
        <w:spacing w:before="134" w:line="271" w:lineRule="auto"/>
        <w:ind w:left="443" w:right="70" w:hanging="228"/>
      </w:pPr>
      <w:r>
        <w:rPr>
          <w:rFonts w:ascii="ITC Zapf Dingbats Std" w:hAnsi="ITC Zapf Dingbats Std"/>
          <w:color w:val="E82C2A"/>
        </w:rPr>
        <w:t xml:space="preserve">➤ </w:t>
      </w:r>
      <w:r>
        <w:rPr>
          <w:color w:val="231F20"/>
        </w:rPr>
        <w:t>Accounts Payable and Purchasing – responsibilities</w:t>
      </w:r>
      <w:r>
        <w:rPr>
          <w:color w:val="231F20"/>
          <w:spacing w:val="-10"/>
        </w:rPr>
        <w:t xml:space="preserve"> </w:t>
      </w:r>
      <w:r>
        <w:rPr>
          <w:color w:val="231F20"/>
        </w:rPr>
        <w:t>may</w:t>
      </w:r>
      <w:r>
        <w:rPr>
          <w:color w:val="231F20"/>
          <w:spacing w:val="-10"/>
        </w:rPr>
        <w:t xml:space="preserve"> </w:t>
      </w:r>
      <w:r>
        <w:rPr>
          <w:color w:val="231F20"/>
        </w:rPr>
        <w:t>include</w:t>
      </w:r>
      <w:r>
        <w:rPr>
          <w:color w:val="231F20"/>
          <w:spacing w:val="-10"/>
        </w:rPr>
        <w:t xml:space="preserve"> </w:t>
      </w:r>
      <w:r>
        <w:rPr>
          <w:color w:val="231F20"/>
        </w:rPr>
        <w:t>vendor</w:t>
      </w:r>
      <w:r>
        <w:rPr>
          <w:color w:val="231F20"/>
          <w:spacing w:val="-10"/>
        </w:rPr>
        <w:t xml:space="preserve"> </w:t>
      </w:r>
      <w:r>
        <w:rPr>
          <w:color w:val="231F20"/>
        </w:rPr>
        <w:t>management, forms, and submissions (W-9, 1099, etc.), corporate credit cards, expense management, use</w:t>
      </w:r>
      <w:r>
        <w:rPr>
          <w:color w:val="231F20"/>
          <w:spacing w:val="-3"/>
        </w:rPr>
        <w:t xml:space="preserve"> </w:t>
      </w:r>
      <w:r>
        <w:rPr>
          <w:color w:val="231F20"/>
        </w:rPr>
        <w:t>tax,</w:t>
      </w:r>
      <w:r>
        <w:rPr>
          <w:color w:val="231F20"/>
          <w:spacing w:val="-3"/>
        </w:rPr>
        <w:t xml:space="preserve"> </w:t>
      </w:r>
      <w:r>
        <w:rPr>
          <w:color w:val="231F20"/>
        </w:rPr>
        <w:t>controls,</w:t>
      </w:r>
      <w:r>
        <w:rPr>
          <w:color w:val="231F20"/>
          <w:spacing w:val="-3"/>
        </w:rPr>
        <w:t xml:space="preserve"> </w:t>
      </w:r>
      <w:r>
        <w:rPr>
          <w:color w:val="231F20"/>
        </w:rPr>
        <w:t>and</w:t>
      </w:r>
      <w:r>
        <w:rPr>
          <w:color w:val="231F20"/>
          <w:spacing w:val="-3"/>
        </w:rPr>
        <w:t xml:space="preserve"> </w:t>
      </w:r>
      <w:r>
        <w:rPr>
          <w:color w:val="231F20"/>
        </w:rPr>
        <w:t>compliance,</w:t>
      </w:r>
      <w:r>
        <w:rPr>
          <w:color w:val="231F20"/>
          <w:spacing w:val="-3"/>
        </w:rPr>
        <w:t xml:space="preserve"> </w:t>
      </w:r>
      <w:r>
        <w:rPr>
          <w:color w:val="231F20"/>
        </w:rPr>
        <w:t>monthly</w:t>
      </w:r>
      <w:r>
        <w:rPr>
          <w:color w:val="231F20"/>
          <w:spacing w:val="-3"/>
        </w:rPr>
        <w:t xml:space="preserve"> </w:t>
      </w:r>
      <w:r>
        <w:rPr>
          <w:color w:val="231F20"/>
        </w:rPr>
        <w:t>close, and spend analyses</w:t>
      </w:r>
    </w:p>
    <w:p w14:paraId="2F9D02A4" w14:textId="77777777" w:rsidR="009D4132" w:rsidRDefault="00AD1846">
      <w:pPr>
        <w:pStyle w:val="BodyText"/>
        <w:spacing w:before="135" w:line="271" w:lineRule="auto"/>
        <w:ind w:left="443" w:right="70" w:hanging="228"/>
      </w:pPr>
      <w:r>
        <w:rPr>
          <w:rFonts w:ascii="ITC Zapf Dingbats Std" w:hAnsi="ITC Zapf Dingbats Std"/>
          <w:color w:val="E82C2A"/>
        </w:rPr>
        <w:t xml:space="preserve">➤ </w:t>
      </w:r>
      <w:r>
        <w:rPr>
          <w:color w:val="231F20"/>
        </w:rPr>
        <w:t>Accounts Receivable and Revenue – responsibilities</w:t>
      </w:r>
      <w:r>
        <w:rPr>
          <w:color w:val="231F20"/>
          <w:spacing w:val="-10"/>
        </w:rPr>
        <w:t xml:space="preserve"> </w:t>
      </w:r>
      <w:r>
        <w:rPr>
          <w:color w:val="231F20"/>
        </w:rPr>
        <w:t>may</w:t>
      </w:r>
      <w:r>
        <w:rPr>
          <w:color w:val="231F20"/>
          <w:spacing w:val="-10"/>
        </w:rPr>
        <w:t xml:space="preserve"> </w:t>
      </w:r>
      <w:r>
        <w:rPr>
          <w:color w:val="231F20"/>
        </w:rPr>
        <w:t>include</w:t>
      </w:r>
      <w:r>
        <w:rPr>
          <w:color w:val="231F20"/>
          <w:spacing w:val="-10"/>
        </w:rPr>
        <w:t xml:space="preserve"> </w:t>
      </w:r>
      <w:r>
        <w:rPr>
          <w:color w:val="231F20"/>
        </w:rPr>
        <w:t>revenue</w:t>
      </w:r>
      <w:r>
        <w:rPr>
          <w:color w:val="231F20"/>
          <w:spacing w:val="-10"/>
        </w:rPr>
        <w:t xml:space="preserve"> </w:t>
      </w:r>
      <w:r>
        <w:rPr>
          <w:color w:val="231F20"/>
        </w:rPr>
        <w:t>analysis, revenue recognition (ASC 606 and IFRS 15), credit analyses, collections, cash application, monthly close, and sales tax</w:t>
      </w:r>
    </w:p>
    <w:p w14:paraId="357B1B48" w14:textId="77777777" w:rsidR="009D4132" w:rsidRDefault="00AD1846">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General</w:t>
      </w:r>
      <w:r>
        <w:rPr>
          <w:color w:val="231F20"/>
          <w:spacing w:val="-14"/>
        </w:rPr>
        <w:t xml:space="preserve"> </w:t>
      </w:r>
      <w:r>
        <w:rPr>
          <w:color w:val="231F20"/>
        </w:rPr>
        <w:t>Accounting</w:t>
      </w:r>
      <w:r>
        <w:rPr>
          <w:color w:val="231F20"/>
          <w:spacing w:val="-7"/>
        </w:rPr>
        <w:t xml:space="preserve"> </w:t>
      </w:r>
      <w:r>
        <w:rPr>
          <w:color w:val="231F20"/>
        </w:rPr>
        <w:t>–</w:t>
      </w:r>
      <w:r>
        <w:rPr>
          <w:color w:val="231F20"/>
          <w:spacing w:val="-7"/>
        </w:rPr>
        <w:t xml:space="preserve"> </w:t>
      </w:r>
      <w:r>
        <w:rPr>
          <w:color w:val="231F20"/>
        </w:rPr>
        <w:t>responsibilities</w:t>
      </w:r>
      <w:r>
        <w:rPr>
          <w:color w:val="231F20"/>
          <w:spacing w:val="-7"/>
        </w:rPr>
        <w:t xml:space="preserve"> </w:t>
      </w:r>
      <w:r>
        <w:rPr>
          <w:color w:val="231F20"/>
        </w:rPr>
        <w:t>may</w:t>
      </w:r>
      <w:r>
        <w:rPr>
          <w:color w:val="231F20"/>
          <w:spacing w:val="-7"/>
        </w:rPr>
        <w:t xml:space="preserve"> </w:t>
      </w:r>
      <w:r>
        <w:rPr>
          <w:color w:val="231F20"/>
        </w:rPr>
        <w:t>include fixed assets, working with external auditors, cost accounting, utilization, controls, and compliance, monthly close, reconciliations, ad hoc and pro forma reporting, variance analyses, CAPEX, change analyses, and allocations</w:t>
      </w:r>
    </w:p>
    <w:p w14:paraId="4ED25A7E" w14:textId="77777777" w:rsidR="009D4132" w:rsidRDefault="00AD1846">
      <w:pPr>
        <w:pStyle w:val="BodyText"/>
        <w:spacing w:before="135" w:line="271" w:lineRule="auto"/>
        <w:ind w:left="451" w:hanging="236"/>
      </w:pPr>
      <w:r>
        <w:rPr>
          <w:rFonts w:ascii="ITC Zapf Dingbats Std" w:hAnsi="ITC Zapf Dingbats Std"/>
          <w:color w:val="E82C2A"/>
        </w:rPr>
        <w:t xml:space="preserve">➤ </w:t>
      </w:r>
      <w:r>
        <w:rPr>
          <w:color w:val="231F20"/>
        </w:rPr>
        <w:t>Tax – responsibilities may include working with external</w:t>
      </w:r>
      <w:r>
        <w:rPr>
          <w:color w:val="231F20"/>
          <w:spacing w:val="-8"/>
        </w:rPr>
        <w:t xml:space="preserve"> </w:t>
      </w:r>
      <w:r>
        <w:rPr>
          <w:color w:val="231F20"/>
        </w:rPr>
        <w:t>tax</w:t>
      </w:r>
      <w:r>
        <w:rPr>
          <w:color w:val="231F20"/>
          <w:spacing w:val="-8"/>
        </w:rPr>
        <w:t xml:space="preserve"> </w:t>
      </w:r>
      <w:r>
        <w:rPr>
          <w:color w:val="231F20"/>
        </w:rPr>
        <w:t>accountants,</w:t>
      </w:r>
      <w:r>
        <w:rPr>
          <w:color w:val="231F20"/>
          <w:spacing w:val="-8"/>
        </w:rPr>
        <w:t xml:space="preserve"> </w:t>
      </w:r>
      <w:r>
        <w:rPr>
          <w:color w:val="231F20"/>
        </w:rPr>
        <w:t>forms</w:t>
      </w:r>
      <w:r>
        <w:rPr>
          <w:color w:val="231F20"/>
          <w:spacing w:val="-8"/>
        </w:rPr>
        <w:t xml:space="preserve"> </w:t>
      </w:r>
      <w:r>
        <w:rPr>
          <w:color w:val="231F20"/>
        </w:rPr>
        <w:t>and</w:t>
      </w:r>
      <w:r>
        <w:rPr>
          <w:color w:val="231F20"/>
          <w:spacing w:val="-8"/>
        </w:rPr>
        <w:t xml:space="preserve"> </w:t>
      </w:r>
      <w:r>
        <w:rPr>
          <w:color w:val="231F20"/>
        </w:rPr>
        <w:t>submissions, research, corporate tax returns, state tax returns, and tax analyses</w:t>
      </w:r>
      <w:r>
        <w:rPr>
          <w:color w:val="231F20"/>
          <w:spacing w:val="-7"/>
        </w:rPr>
        <w:t xml:space="preserve"> </w:t>
      </w:r>
      <w:r>
        <w:rPr>
          <w:color w:val="231F20"/>
        </w:rPr>
        <w:t>Analytics – responsibilities may include advanced statistical analyses, reporting, KPI’s and metrics</w:t>
      </w:r>
    </w:p>
    <w:p w14:paraId="76E67C98" w14:textId="77777777" w:rsidR="009D4132" w:rsidRDefault="00AD1846">
      <w:pPr>
        <w:pStyle w:val="Heading1"/>
        <w:spacing w:before="131" w:line="216" w:lineRule="auto"/>
        <w:ind w:left="216" w:right="432"/>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0346D7D9" w14:textId="77777777" w:rsidR="009D4132" w:rsidRDefault="00AD1846">
      <w:pPr>
        <w:pStyle w:val="BodyText"/>
        <w:spacing w:before="175"/>
        <w:ind w:left="216"/>
      </w:pPr>
      <w:r>
        <w:rPr>
          <w:noProof/>
        </w:rPr>
        <mc:AlternateContent>
          <mc:Choice Requires="wpg">
            <w:drawing>
              <wp:anchor distT="0" distB="0" distL="0" distR="0" simplePos="0" relativeHeight="15731200" behindDoc="0" locked="0" layoutInCell="1" allowOverlap="1" wp14:anchorId="5150E3B6" wp14:editId="273CA711">
                <wp:simplePos x="0" y="0"/>
                <wp:positionH relativeFrom="page">
                  <wp:posOffset>3879850</wp:posOffset>
                </wp:positionH>
                <wp:positionV relativeFrom="paragraph">
                  <wp:posOffset>-395766</wp:posOffset>
                </wp:positionV>
                <wp:extent cx="12700" cy="69113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4" name="Graphic 4"/>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BACEBC7" id="Group 3" o:spid="_x0000_s1026" style="position:absolute;margin-left:305.5pt;margin-top:-31.15pt;width:1pt;height:544.2pt;z-index:15731200;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">
                <v:shape id="Graphic 4"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WhwAAAANoAAAAPAAAAZHJzL2Rvd25yZXYueG1sRI9Lq8Iw&#10;FIT3F/wP4QjublMvIl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i2dlocAAAADaAAAADwAAAAAA&#10;AAAAAAAAAAAHAgAAZHJzL2Rvd25yZXYueG1sUEsFBgAAAAADAAMAtwAAAPQCAAAAAA==&#10;" path="m,l,6841286e" filled="f" strokecolor="#e82c2a" strokeweight="1pt">
                  <v:stroke dashstyle="dot"/>
                  <v:path arrowok="t"/>
                </v:shape>
                <v:shape id="Graphic 5"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
        </w:rPr>
        <w:t xml:space="preserve"> </w:t>
      </w:r>
      <w:r>
        <w:rPr>
          <w:color w:val="231F20"/>
        </w:rPr>
        <w:t>Bachelor’s</w:t>
      </w:r>
      <w:r>
        <w:rPr>
          <w:color w:val="231F20"/>
          <w:spacing w:val="-1"/>
        </w:rPr>
        <w:t xml:space="preserve"> </w:t>
      </w:r>
      <w:r>
        <w:rPr>
          <w:color w:val="231F20"/>
        </w:rPr>
        <w:t>degree</w:t>
      </w:r>
      <w:r>
        <w:rPr>
          <w:color w:val="231F20"/>
          <w:spacing w:val="-1"/>
        </w:rPr>
        <w:t xml:space="preserve"> </w:t>
      </w:r>
      <w:r>
        <w:rPr>
          <w:color w:val="231F20"/>
        </w:rPr>
        <w:t>in</w:t>
      </w:r>
      <w:r>
        <w:rPr>
          <w:color w:val="231F20"/>
          <w:spacing w:val="-11"/>
        </w:rPr>
        <w:t xml:space="preserve"> </w:t>
      </w:r>
      <w:r>
        <w:rPr>
          <w:color w:val="231F20"/>
          <w:spacing w:val="-2"/>
        </w:rPr>
        <w:t>Accounting</w:t>
      </w:r>
    </w:p>
    <w:p w14:paraId="4FD3406D" w14:textId="77777777" w:rsidR="009D4132" w:rsidRDefault="00AD1846">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Minimum</w:t>
      </w:r>
      <w:r>
        <w:rPr>
          <w:color w:val="231F20"/>
          <w:spacing w:val="-2"/>
        </w:rPr>
        <w:t xml:space="preserve"> </w:t>
      </w:r>
      <w:r>
        <w:rPr>
          <w:color w:val="231F20"/>
        </w:rPr>
        <w:t>3-years</w:t>
      </w:r>
      <w:r>
        <w:rPr>
          <w:color w:val="231F20"/>
          <w:spacing w:val="-2"/>
        </w:rPr>
        <w:t xml:space="preserve"> </w:t>
      </w:r>
      <w:r>
        <w:rPr>
          <w:color w:val="231F20"/>
        </w:rPr>
        <w:t>accounting</w:t>
      </w:r>
      <w:r>
        <w:rPr>
          <w:color w:val="231F20"/>
          <w:spacing w:val="-2"/>
        </w:rPr>
        <w:t xml:space="preserve"> experience</w:t>
      </w:r>
    </w:p>
    <w:p w14:paraId="765B6FF6" w14:textId="77777777" w:rsidR="009D4132" w:rsidRDefault="00AD1846">
      <w:pPr>
        <w:pStyle w:val="BodyText"/>
        <w:spacing w:before="164"/>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CPA</w:t>
      </w:r>
      <w:r>
        <w:rPr>
          <w:color w:val="231F20"/>
          <w:spacing w:val="-14"/>
        </w:rPr>
        <w:t xml:space="preserve"> </w:t>
      </w:r>
      <w:r>
        <w:rPr>
          <w:color w:val="231F20"/>
        </w:rPr>
        <w:t>not</w:t>
      </w:r>
      <w:r>
        <w:rPr>
          <w:color w:val="231F20"/>
          <w:spacing w:val="-4"/>
        </w:rPr>
        <w:t xml:space="preserve"> </w:t>
      </w:r>
      <w:r>
        <w:rPr>
          <w:color w:val="231F20"/>
        </w:rPr>
        <w:t>required</w:t>
      </w:r>
      <w:r>
        <w:rPr>
          <w:color w:val="231F20"/>
          <w:spacing w:val="-5"/>
        </w:rPr>
        <w:t xml:space="preserve"> </w:t>
      </w:r>
      <w:r>
        <w:rPr>
          <w:color w:val="231F20"/>
        </w:rPr>
        <w:t>but</w:t>
      </w:r>
      <w:r>
        <w:rPr>
          <w:color w:val="231F20"/>
          <w:spacing w:val="-4"/>
        </w:rPr>
        <w:t xml:space="preserve"> </w:t>
      </w:r>
      <w:r>
        <w:rPr>
          <w:color w:val="231F20"/>
          <w:spacing w:val="-2"/>
        </w:rPr>
        <w:t>preferred</w:t>
      </w:r>
    </w:p>
    <w:p w14:paraId="2CE32375" w14:textId="77777777" w:rsidR="009D4132" w:rsidRDefault="00AD1846">
      <w:pPr>
        <w:pStyle w:val="BodyText"/>
        <w:spacing w:before="164" w:line="271" w:lineRule="auto"/>
        <w:ind w:left="443" w:right="447"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Advanced</w:t>
      </w:r>
      <w:r>
        <w:rPr>
          <w:color w:val="231F20"/>
          <w:spacing w:val="-12"/>
        </w:rPr>
        <w:t xml:space="preserve"> </w:t>
      </w:r>
      <w:r>
        <w:rPr>
          <w:color w:val="231F20"/>
        </w:rPr>
        <w:t>accounting</w:t>
      </w:r>
      <w:r>
        <w:rPr>
          <w:color w:val="231F20"/>
          <w:spacing w:val="-8"/>
        </w:rPr>
        <w:t xml:space="preserve"> </w:t>
      </w:r>
      <w:r>
        <w:rPr>
          <w:color w:val="231F20"/>
        </w:rPr>
        <w:t>and</w:t>
      </w:r>
      <w:r>
        <w:rPr>
          <w:color w:val="231F20"/>
          <w:spacing w:val="-8"/>
        </w:rPr>
        <w:t xml:space="preserve"> </w:t>
      </w:r>
      <w:r>
        <w:rPr>
          <w:color w:val="231F20"/>
        </w:rPr>
        <w:t>internal</w:t>
      </w:r>
      <w:r>
        <w:rPr>
          <w:color w:val="231F20"/>
          <w:spacing w:val="-8"/>
        </w:rPr>
        <w:t xml:space="preserve"> </w:t>
      </w:r>
      <w:r>
        <w:rPr>
          <w:color w:val="231F20"/>
        </w:rPr>
        <w:t>controls knowledge, understanding of US GAAP</w:t>
      </w:r>
    </w:p>
    <w:p w14:paraId="20D41958" w14:textId="77777777" w:rsidR="009D4132" w:rsidRDefault="00AD1846">
      <w:pPr>
        <w:pStyle w:val="BodyText"/>
        <w:spacing w:before="134" w:line="271" w:lineRule="auto"/>
        <w:ind w:left="454" w:right="432" w:hanging="239"/>
      </w:pPr>
      <w:r>
        <w:rPr>
          <w:rFonts w:ascii="ITC Zapf Dingbats Std" w:hAnsi="ITC Zapf Dingbats Std"/>
          <w:color w:val="E82C2A"/>
        </w:rPr>
        <w:t xml:space="preserve">➤ </w:t>
      </w:r>
      <w:r>
        <w:rPr>
          <w:color w:val="231F20"/>
        </w:rPr>
        <w:t>Self-motivated, detail-oriented, strong organizational</w:t>
      </w:r>
      <w:r>
        <w:rPr>
          <w:color w:val="231F20"/>
          <w:spacing w:val="-10"/>
        </w:rPr>
        <w:t xml:space="preserve"> </w:t>
      </w:r>
      <w:r>
        <w:rPr>
          <w:color w:val="231F20"/>
        </w:rPr>
        <w:t>and</w:t>
      </w:r>
      <w:r>
        <w:rPr>
          <w:color w:val="231F20"/>
          <w:spacing w:val="-10"/>
        </w:rPr>
        <w:t xml:space="preserve"> </w:t>
      </w:r>
      <w:r>
        <w:rPr>
          <w:color w:val="231F20"/>
        </w:rPr>
        <w:t>time</w:t>
      </w:r>
      <w:r>
        <w:rPr>
          <w:color w:val="231F20"/>
          <w:spacing w:val="-10"/>
        </w:rPr>
        <w:t xml:space="preserve"> </w:t>
      </w:r>
      <w:r>
        <w:rPr>
          <w:color w:val="231F20"/>
        </w:rPr>
        <w:t>management</w:t>
      </w:r>
      <w:r>
        <w:rPr>
          <w:color w:val="231F20"/>
          <w:spacing w:val="-10"/>
        </w:rPr>
        <w:t xml:space="preserve"> </w:t>
      </w:r>
      <w:r>
        <w:rPr>
          <w:color w:val="231F20"/>
        </w:rPr>
        <w:t>skills</w:t>
      </w:r>
    </w:p>
    <w:p w14:paraId="03DD16A5" w14:textId="77777777" w:rsidR="009D4132" w:rsidRDefault="00AD1846">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verbal</w:t>
      </w:r>
      <w:r>
        <w:rPr>
          <w:color w:val="231F20"/>
          <w:spacing w:val="-4"/>
        </w:rPr>
        <w:t xml:space="preserve"> </w:t>
      </w:r>
      <w:r>
        <w:rPr>
          <w:color w:val="231F20"/>
        </w:rPr>
        <w:t>and</w:t>
      </w:r>
      <w:r>
        <w:rPr>
          <w:color w:val="231F20"/>
          <w:spacing w:val="-4"/>
        </w:rPr>
        <w:t xml:space="preserve"> </w:t>
      </w:r>
      <w:r>
        <w:rPr>
          <w:color w:val="231F20"/>
        </w:rPr>
        <w:t>written</w:t>
      </w:r>
      <w:r>
        <w:rPr>
          <w:color w:val="231F20"/>
          <w:spacing w:val="-4"/>
        </w:rPr>
        <w:t xml:space="preserve"> </w:t>
      </w:r>
      <w:r>
        <w:rPr>
          <w:color w:val="231F20"/>
        </w:rPr>
        <w:t>communication</w:t>
      </w:r>
      <w:r>
        <w:rPr>
          <w:color w:val="231F20"/>
          <w:spacing w:val="-4"/>
        </w:rPr>
        <w:t xml:space="preserve"> </w:t>
      </w:r>
      <w:r>
        <w:rPr>
          <w:color w:val="231F20"/>
          <w:spacing w:val="-2"/>
        </w:rPr>
        <w:t>skills</w:t>
      </w:r>
    </w:p>
    <w:p w14:paraId="53BA6AF7" w14:textId="77777777" w:rsidR="009D4132" w:rsidRDefault="00AD1846">
      <w:pPr>
        <w:pStyle w:val="BodyText"/>
        <w:spacing w:before="164"/>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Proficient</w:t>
      </w:r>
      <w:r>
        <w:rPr>
          <w:color w:val="231F20"/>
          <w:spacing w:val="-2"/>
        </w:rPr>
        <w:t xml:space="preserve"> </w:t>
      </w:r>
      <w:r>
        <w:rPr>
          <w:color w:val="231F20"/>
        </w:rPr>
        <w:t>with</w:t>
      </w:r>
      <w:r>
        <w:rPr>
          <w:color w:val="231F20"/>
          <w:spacing w:val="-2"/>
        </w:rPr>
        <w:t xml:space="preserve"> </w:t>
      </w:r>
      <w:r>
        <w:rPr>
          <w:color w:val="231F20"/>
        </w:rPr>
        <w:t>Excel</w:t>
      </w:r>
      <w:r>
        <w:rPr>
          <w:color w:val="231F20"/>
          <w:spacing w:val="-1"/>
        </w:rPr>
        <w:t xml:space="preserve"> </w:t>
      </w:r>
      <w:r>
        <w:rPr>
          <w:color w:val="231F20"/>
          <w:spacing w:val="-2"/>
        </w:rPr>
        <w:t>functions</w:t>
      </w:r>
    </w:p>
    <w:p w14:paraId="31A67A52" w14:textId="77777777" w:rsidR="009D4132" w:rsidRDefault="00AD1846">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Critical</w:t>
      </w:r>
      <w:r>
        <w:rPr>
          <w:color w:val="231F20"/>
          <w:spacing w:val="-5"/>
        </w:rPr>
        <w:t xml:space="preserve"> </w:t>
      </w:r>
      <w:r>
        <w:rPr>
          <w:color w:val="231F20"/>
        </w:rPr>
        <w:t>thinking</w:t>
      </w:r>
      <w:r>
        <w:rPr>
          <w:color w:val="231F20"/>
          <w:spacing w:val="-5"/>
        </w:rPr>
        <w:t xml:space="preserve"> </w:t>
      </w:r>
      <w:r>
        <w:rPr>
          <w:color w:val="231F20"/>
        </w:rPr>
        <w:t>and</w:t>
      </w:r>
      <w:r>
        <w:rPr>
          <w:color w:val="231F20"/>
          <w:spacing w:val="-5"/>
        </w:rPr>
        <w:t xml:space="preserve"> </w:t>
      </w:r>
      <w:r>
        <w:rPr>
          <w:color w:val="231F20"/>
        </w:rPr>
        <w:t>strong</w:t>
      </w:r>
      <w:r>
        <w:rPr>
          <w:color w:val="231F20"/>
          <w:spacing w:val="-5"/>
        </w:rPr>
        <w:t xml:space="preserve"> </w:t>
      </w:r>
      <w:r>
        <w:rPr>
          <w:color w:val="231F20"/>
        </w:rPr>
        <w:t>analytical</w:t>
      </w:r>
      <w:r>
        <w:rPr>
          <w:color w:val="231F20"/>
          <w:spacing w:val="-5"/>
        </w:rPr>
        <w:t xml:space="preserve"> </w:t>
      </w:r>
      <w:r>
        <w:rPr>
          <w:color w:val="231F20"/>
          <w:spacing w:val="-2"/>
        </w:rPr>
        <w:t>skills</w:t>
      </w:r>
    </w:p>
    <w:p w14:paraId="5AAF678A" w14:textId="77777777" w:rsidR="009D4132" w:rsidRDefault="00AD1846">
      <w:pPr>
        <w:pStyle w:val="BodyText"/>
        <w:spacing w:before="74"/>
      </w:pPr>
      <w:r>
        <w:rPr>
          <w:noProof/>
        </w:rPr>
        <mc:AlternateContent>
          <mc:Choice Requires="wps">
            <w:drawing>
              <wp:anchor distT="0" distB="0" distL="0" distR="0" simplePos="0" relativeHeight="487588864" behindDoc="1" locked="0" layoutInCell="1" allowOverlap="1" wp14:anchorId="5CE20ADF" wp14:editId="66C7E2BA">
                <wp:simplePos x="0" y="0"/>
                <wp:positionH relativeFrom="page">
                  <wp:posOffset>4229100</wp:posOffset>
                </wp:positionH>
                <wp:positionV relativeFrom="paragraph">
                  <wp:posOffset>208418</wp:posOffset>
                </wp:positionV>
                <wp:extent cx="296672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720" cy="1270"/>
                        </a:xfrm>
                        <a:custGeom>
                          <a:avLst/>
                          <a:gdLst/>
                          <a:ahLst/>
                          <a:cxnLst/>
                          <a:rect l="l" t="t" r="r" b="b"/>
                          <a:pathLst>
                            <a:path w="2966720">
                              <a:moveTo>
                                <a:pt x="2966720"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40D5A3A" id="Graphic 6" o:spid="_x0000_s1026" style="position:absolute;margin-left:333pt;margin-top:16.4pt;width:233.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966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" path="m2966720,l,e" filled="f" strokecolor="#e82c2a" strokeweight="1pt">
                <v:path arrowok="t"/>
                <w10:wrap type="topAndBottom" anchorx="page"/>
              </v:shape>
            </w:pict>
          </mc:Fallback>
        </mc:AlternateContent>
      </w:r>
    </w:p>
    <w:p w14:paraId="16240B7A" w14:textId="77777777" w:rsidR="009D4132" w:rsidRDefault="009D4132">
      <w:pPr>
        <w:pStyle w:val="BodyText"/>
        <w:spacing w:before="14"/>
      </w:pPr>
    </w:p>
    <w:p w14:paraId="7FD901D6" w14:textId="77777777" w:rsidR="009D4132" w:rsidRDefault="00AD1846">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32869A0" w14:textId="77777777" w:rsidR="009D4132" w:rsidRDefault="00AD1846">
      <w:pPr>
        <w:spacing w:before="115" w:line="338" w:lineRule="auto"/>
        <w:ind w:left="1266" w:right="1589"/>
        <w:jc w:val="center"/>
        <w:rPr>
          <w:b/>
          <w:sz w:val="24"/>
        </w:rPr>
      </w:pPr>
      <w:hyperlink r:id="rId4">
        <w:r>
          <w:rPr>
            <w:b/>
            <w:color w:val="00437B"/>
            <w:spacing w:val="-2"/>
            <w:sz w:val="24"/>
          </w:rPr>
          <w:t>www.yourwebsite.com</w:t>
        </w:r>
      </w:hyperlink>
      <w:r>
        <w:rPr>
          <w:b/>
          <w:color w:val="00437B"/>
          <w:spacing w:val="-2"/>
          <w:sz w:val="24"/>
        </w:rPr>
        <w:t xml:space="preserve"> XXX-XXX-XXXX</w:t>
      </w:r>
    </w:p>
    <w:p w14:paraId="0068F4C6" w14:textId="77777777" w:rsidR="009D4132" w:rsidRDefault="00AD1846">
      <w:pPr>
        <w:spacing w:line="274" w:lineRule="exact"/>
        <w:ind w:right="322"/>
        <w:jc w:val="center"/>
        <w:rPr>
          <w:b/>
          <w:sz w:val="24"/>
        </w:rPr>
      </w:pPr>
      <w:hyperlink r:id="rId5">
        <w:r>
          <w:rPr>
            <w:b/>
            <w:color w:val="00437B"/>
            <w:spacing w:val="-2"/>
            <w:sz w:val="24"/>
          </w:rPr>
          <w:t>email@company.com</w:t>
        </w:r>
      </w:hyperlink>
    </w:p>
    <w:p w14:paraId="5582F4A5" w14:textId="77777777" w:rsidR="009D4132" w:rsidRDefault="009D4132">
      <w:pPr>
        <w:pStyle w:val="BodyText"/>
        <w:rPr>
          <w:b/>
          <w:sz w:val="24"/>
        </w:rPr>
      </w:pPr>
    </w:p>
    <w:p w14:paraId="1BF037EF" w14:textId="77777777" w:rsidR="009D4132" w:rsidRDefault="009D4132">
      <w:pPr>
        <w:pStyle w:val="BodyText"/>
        <w:rPr>
          <w:b/>
          <w:sz w:val="24"/>
        </w:rPr>
      </w:pPr>
    </w:p>
    <w:p w14:paraId="699E9374" w14:textId="77777777" w:rsidR="009D4132" w:rsidRDefault="009D4132">
      <w:pPr>
        <w:pStyle w:val="BodyText"/>
        <w:rPr>
          <w:b/>
          <w:sz w:val="24"/>
        </w:rPr>
      </w:pPr>
    </w:p>
    <w:p w14:paraId="038BBBDC" w14:textId="77777777" w:rsidR="009D4132" w:rsidRDefault="009D4132">
      <w:pPr>
        <w:pStyle w:val="BodyText"/>
        <w:spacing w:before="270"/>
        <w:rPr>
          <w:b/>
          <w:sz w:val="24"/>
        </w:rPr>
      </w:pPr>
    </w:p>
    <w:p w14:paraId="22B29DEC" w14:textId="77777777" w:rsidR="009D4132" w:rsidRDefault="00AD1846">
      <w:pPr>
        <w:spacing w:line="328" w:lineRule="auto"/>
        <w:ind w:left="216" w:right="447"/>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396126A6" w14:textId="77777777" w:rsidR="009D4132" w:rsidRDefault="009D4132">
      <w:pPr>
        <w:pStyle w:val="BodyText"/>
        <w:rPr>
          <w:i/>
          <w:sz w:val="14"/>
        </w:rPr>
      </w:pPr>
    </w:p>
    <w:p w14:paraId="5F1485D2" w14:textId="77777777" w:rsidR="009D4132" w:rsidRDefault="009D4132">
      <w:pPr>
        <w:pStyle w:val="BodyText"/>
        <w:rPr>
          <w:i/>
          <w:sz w:val="14"/>
        </w:rPr>
      </w:pPr>
    </w:p>
    <w:p w14:paraId="315EA920" w14:textId="77777777" w:rsidR="009D4132" w:rsidRDefault="009D4132">
      <w:pPr>
        <w:pStyle w:val="BodyText"/>
        <w:spacing w:before="21"/>
        <w:rPr>
          <w:i/>
          <w:sz w:val="14"/>
        </w:rPr>
      </w:pPr>
    </w:p>
    <w:p w14:paraId="178AF051" w14:textId="77777777" w:rsidR="009D4132" w:rsidRDefault="00AD1846">
      <w:pPr>
        <w:ind w:left="2592"/>
        <w:rPr>
          <w:b/>
          <w:sz w:val="30"/>
        </w:rPr>
      </w:pPr>
      <w:r>
        <w:rPr>
          <w:b/>
          <w:noProof/>
          <w:sz w:val="30"/>
        </w:rPr>
        <mc:AlternateContent>
          <mc:Choice Requires="wps">
            <w:drawing>
              <wp:anchor distT="0" distB="0" distL="0" distR="0" simplePos="0" relativeHeight="15730176" behindDoc="0" locked="0" layoutInCell="1" allowOverlap="1" wp14:anchorId="1D51F1FC" wp14:editId="6BBD000D">
                <wp:simplePos x="0" y="0"/>
                <wp:positionH relativeFrom="page">
                  <wp:posOffset>6182716</wp:posOffset>
                </wp:positionH>
                <wp:positionV relativeFrom="paragraph">
                  <wp:posOffset>301704</wp:posOffset>
                </wp:positionV>
                <wp:extent cx="1132840" cy="2997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4F66727B" id="Graphic 7" o:spid="_x0000_s1026" style="position:absolute;margin-left:486.85pt;margin-top:23.75pt;width:89.2pt;height:23.6pt;z-index:15730176;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anchorx="page"/>
              </v:shape>
            </w:pict>
          </mc:Fallback>
        </mc:AlternateContent>
      </w:r>
      <w:r>
        <w:rPr>
          <w:b/>
          <w:noProof/>
          <w:sz w:val="30"/>
        </w:rPr>
        <w:drawing>
          <wp:anchor distT="0" distB="0" distL="0" distR="0" simplePos="0" relativeHeight="15730688" behindDoc="0" locked="0" layoutInCell="1" allowOverlap="1" wp14:anchorId="4CB7D2B5" wp14:editId="431B3774">
            <wp:simplePos x="0" y="0"/>
            <wp:positionH relativeFrom="page">
              <wp:posOffset>5741956</wp:posOffset>
            </wp:positionH>
            <wp:positionV relativeFrom="paragraph">
              <wp:posOffset>297969</wp:posOffset>
            </wp:positionV>
            <wp:extent cx="351397" cy="304148"/>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351397" cy="304148"/>
                    </a:xfrm>
                    <a:prstGeom prst="rect">
                      <a:avLst/>
                    </a:prstGeom>
                  </pic:spPr>
                </pic:pic>
              </a:graphicData>
            </a:graphic>
          </wp:anchor>
        </w:drawing>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48321609" w14:textId="77777777" w:rsidR="009D4132" w:rsidRDefault="009D4132">
      <w:pPr>
        <w:rPr>
          <w:b/>
          <w:sz w:val="30"/>
        </w:rPr>
        <w:sectPr w:rsidR="009D4132">
          <w:type w:val="continuous"/>
          <w:pgSz w:w="12240" w:h="15840"/>
          <w:pgMar w:top="600" w:right="360" w:bottom="280" w:left="720" w:header="720" w:footer="720" w:gutter="0"/>
          <w:cols w:num="2" w:space="720" w:equalWidth="0">
            <w:col w:w="4897" w:space="827"/>
            <w:col w:w="5436"/>
          </w:cols>
        </w:sectPr>
      </w:pPr>
    </w:p>
    <w:p w14:paraId="44844377" w14:textId="77777777" w:rsidR="009D4132" w:rsidRDefault="009D4132">
      <w:pPr>
        <w:pStyle w:val="BodyText"/>
        <w:spacing w:before="39"/>
        <w:rPr>
          <w:b/>
        </w:rPr>
      </w:pPr>
    </w:p>
    <w:p w14:paraId="211D1129" w14:textId="77777777" w:rsidR="009D4132" w:rsidRDefault="00AD1846">
      <w:pPr>
        <w:pStyle w:val="BodyText"/>
        <w:spacing w:line="135" w:lineRule="exact"/>
        <w:ind w:left="8316"/>
        <w:rPr>
          <w:position w:val="-2"/>
          <w:sz w:val="13"/>
        </w:rPr>
      </w:pPr>
      <w:r>
        <w:rPr>
          <w:noProof/>
          <w:position w:val="-2"/>
          <w:sz w:val="13"/>
        </w:rPr>
        <w:drawing>
          <wp:inline distT="0" distB="0" distL="0" distR="0" wp14:anchorId="062B44D8" wp14:editId="44FCD4EE">
            <wp:extent cx="1568939" cy="8572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inline>
        </w:drawing>
      </w:r>
    </w:p>
    <w:sectPr w:rsidR="009D4132">
      <w:type w:val="continuous"/>
      <w:pgSz w:w="12240" w:h="15840"/>
      <w:pgMar w:top="60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9D4132"/>
    <w:rsid w:val="001C701C"/>
    <w:rsid w:val="006E216A"/>
    <w:rsid w:val="009720D3"/>
    <w:rsid w:val="009D4132"/>
    <w:rsid w:val="00AD18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E8911"/>
  <w15:docId w15:val="{1753FC66-4072-4BE2-AF9A-038088B57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6"/>
      <w:ind w:left="215"/>
    </w:pPr>
    <w:rPr>
      <w:rFonts w:ascii="Arial Black" w:eastAsia="Arial Black" w:hAnsi="Arial Black" w:cs="Arial Black"/>
      <w:sz w:val="56"/>
      <w:szCs w:val="5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2025-08-14T13:04:00Z</dcterms:created>
  <dcterms:modified xsi:type="dcterms:W3CDTF">2025-08-27T14:19:00Z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